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team14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AI Label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00:24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5.0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</w:tbl>
    <w:p/>
    <w:p>
      <w:r>
        <w:rPr>
          <w:b/>
        </w:rPr>
        <w:t xml:space="preserve">Ux: </w:t>
      </w:r>
      <w:r>
        <w:t>Telegram testing unavailable - not authenticated</w:t>
      </w:r>
    </w:p>
    <w:p>
      <w:r>
        <w:rPr>
          <w:b/>
        </w:rPr>
        <w:t xml:space="preserve">Functionality: </w:t>
      </w:r>
      <w:r>
        <w:t>Run 'python -m app.testing.telegram_auth' to authenticate</w:t>
      </w:r>
    </w:p>
    <w:p>
      <w:r>
        <w:rPr>
          <w:b/>
        </w:rPr>
        <w:t xml:space="preserve">Performance: </w:t>
      </w:r>
      <w:r>
        <w:t>Telegram testing unavailable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Telegram bot not responding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